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 w:val="0"/>
          <w:spacing w:val="-9"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spacing w:val="-9"/>
          <w:sz w:val="40"/>
          <w:szCs w:val="36"/>
          <w:lang w:eastAsia="zh-CN"/>
        </w:rPr>
        <w:t>在“抗疫”和“保供”工作中做好</w:t>
      </w:r>
      <w:r>
        <w:rPr>
          <w:rFonts w:hint="eastAsia" w:ascii="方正小标宋简体" w:hAnsi="方正小标宋简体" w:eastAsia="方正小标宋简体" w:cs="黑体"/>
          <w:b w:val="0"/>
          <w:bCs w:val="0"/>
          <w:spacing w:val="-9"/>
          <w:sz w:val="40"/>
          <w:szCs w:val="36"/>
          <w:lang w:val="en-US" w:eastAsia="zh-CN"/>
        </w:rPr>
        <w:t>县级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 w:val="0"/>
          <w:spacing w:val="-6"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spacing w:val="-9"/>
          <w:sz w:val="40"/>
          <w:szCs w:val="36"/>
          <w:lang w:val="en-US" w:eastAsia="zh-CN"/>
        </w:rPr>
        <w:t>生活生产应急物资储备中心</w:t>
      </w:r>
      <w:r>
        <w:rPr>
          <w:rFonts w:hint="eastAsia" w:ascii="方正小标宋简体" w:hAnsi="方正小标宋简体" w:eastAsia="方正小标宋简体" w:cs="黑体"/>
          <w:b w:val="0"/>
          <w:bCs w:val="0"/>
          <w:spacing w:val="-6"/>
          <w:sz w:val="40"/>
          <w:szCs w:val="36"/>
          <w:lang w:val="en-US" w:eastAsia="zh-CN"/>
        </w:rPr>
        <w:t>建设管理的行动方案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 w:val="0"/>
          <w:bCs w:val="0"/>
          <w:color w:val="auto"/>
          <w:sz w:val="32"/>
          <w:szCs w:val="32"/>
          <w:lang w:val="en-US" w:eastAsia="zh-CN"/>
        </w:rPr>
        <w:t>（征求意见稿）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按照省防指15号、24号文件精神，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供销社现有网络为载体，建设县级生活生产应急物资储备中心，是省委、省政府在“抗疫”和“保供”工作中，登高望远，科学指挥的关键决断、治本之策。为认真贯彻全国总社指示精神，按照省委、省政府决策部署，本着平时抓市场、战时抓供给的原则，提出如下行动方案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  <w:t>一、主要作用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（一）建成保供“稳定器”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手中有粮，心中不慌”。市场失灵，供销系统补位。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有效缓解物资供需矛盾，及时向社会公开物资储备数据，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确保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eastAsia="zh-CN"/>
        </w:rPr>
        <w:t>保障渠道托底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不断货、不脱销，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不假冒。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帮助实现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群众心理托底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避免恐慌性抢购。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5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（二）建成稳价“压舱石”。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采取省外调运增品种、调结构，省内供销专业合作社自产保生鲜，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货足。一旦市场价格高于去年同期，就地投放，平抑物价，努力实现从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“有没有”向“好不好”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的提升，从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“能买到”向“价格实惠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的提升。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（三）建成产销“对接地”。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发挥供销社扎根农村、联结城乡优势，做好两个对接：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一是农产品进城对接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。组织领办的专业合作社、家庭农场与832扶贫消费平台、中百、武商、供销e家、武汉供销电商等对接，解决市民买菜、鱼、肉、蛋难的问题；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二是工业品下乡对接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。加强配送龙头企业与乡镇基层社、超市和村级综合服务社对接，解决村民日常急需的问题，进一步体现供销社在“工农产业融合、城乡双向流通”的价值和作用。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（四）建成滞销“储备库”。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一是注重发挥集散辐射功能。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联购联销联储，提升配给能力，一个储备中心覆盖2-3个乡镇甚至相邻的多个县，为稳定市场提供可靠支撑。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二是注重强化冷链物流功能。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全省供销农批市场、地头冷库等冷链设施大力开展滞销农产品收储，打好抗疫供应“时间差”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（五）建成战时“应急仓”。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在应急时刻，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利用供销社的品牌公信力和体系优势，将农民专业合作社、生产基地、种植养殖大户、经销商、超市和城乡社区紧密链接起来，形成信息共享、集中采购、批量运输、分散配送、预约取货的应急保供新模式，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变“线下”为”线上”、“自购”为“代购”、“直供”为“点供”、“被动”为“主动”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val="en-US" w:eastAsia="zh-CN"/>
        </w:rPr>
        <w:t>帮助解决产销脱节、农产品滞销等买难卖难的痛点、难点问题。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2"/>
        <w:jc w:val="both"/>
        <w:textAlignment w:val="auto"/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  <w:t>二、主要储备功能、储备量、保供时间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一是农村生活物资。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储备阶段性急需的生活物资：粮、油、肉、蛋、菜。成品粮、食用油储备保持在30天以上周转量，猪肉（冷鲜肉、储备冻肉）、鸡蛋的库存保持12天以上周转量，蔬菜库存保持4天以上周转量。扩大牛肉、羊肉、禽肉、水产品等储备供应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农村主要生活品货物量在7-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11天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二是农业生产资料。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储备化肥、农药、种子、农膜、农机具等农业生产资料。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三是防疫救灾物资。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基本防护物资包括口罩、一次性手套、民用防护服、消毒液、洗手液、喷雾器等。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 xml:space="preserve">   四是药品。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主要由供销社有药品经营资质的企业储备。</w:t>
      </w:r>
      <w:r>
        <w:rPr>
          <w:rFonts w:hint="eastAsia" w:ascii="仿宋" w:hAnsi="仿宋" w:eastAsia="仿宋" w:cs="仿宋"/>
          <w:b w:val="0"/>
          <w:bCs w:val="0"/>
          <w:sz w:val="3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2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仿宋" w:eastAsia="黑体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主要建设模式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1、“农批市场”型。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以供销系统农批大市场为依托，建立应急储备中心。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 xml:space="preserve">    2、“物流中心”型。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以各市县供销e家等仓储物流中心为主体，建设应急储备中心。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3、“出资企业”型。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以供销社出资企业为主体，负责农村生活生产物资保供，建立应急保障体系。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4、“专业合作社”型。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以供销社领办创办的专业合作社建设生活物资应急储备中心，为城区超市、居民配送蔬菜、米面油等生活物资。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5、电商平台“云仓”型。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通过电商平台的信息管理，依托生产企业、销售企业、物流企业，共同建立产、供、销、配供应链。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6、“联合社会”型。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采取政府主导、财政补助方式，由县供销社牵头，联合当地实力企业合作建设粮油、副食、牛奶及生鲜冷链物流四类县级应急物资储备中心。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7、“政（府）”建“供（销）”管型。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由政府出资建设县级生活物资应急储备中心，交由供销社管理运营。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鼓励各地结合本地实际，创新其他建设模式。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  <w:t>四、建设标准、规范和支持政策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（一）储备中心选址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各地供销社要按照“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集中管理、统一调拨、平时服务、灾时应急、采储结合、节约高效”的国家应急管理体系建设原则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，统筹规划，合理布局。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default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（二）统一标识和名称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统一规范使用中国供销社LOGO，名称：XX县（市、区）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生活生产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应急物资储备中心。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（三）分类建库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建设初期，各地应急物资储备中心因地制宜建立储备种类目录清单，对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粮、油、肉、蛋、菜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等物资进行分类分库储备，做到堆码规范、标识清晰、运转顺畅。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（四）硬件设施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各地供销社要根据各地人口、地域和存载量，对中心应具备的功能、体量、投资额进行科学测算和规划。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1、分类设置成品粮、食用油等专门仓库，场地面积不小于10000平米。根据储存数量、品种、时间，采取自建、共建、</w:t>
      </w:r>
      <w:r>
        <w:rPr>
          <w:rFonts w:hint="eastAsia" w:ascii="仿宋_GB2312" w:hAnsi="仿宋_GB2312" w:eastAsia="仿宋_GB2312" w:cs="仿宋_GB2312"/>
          <w:bCs/>
          <w:spacing w:val="-9"/>
          <w:sz w:val="32"/>
          <w:szCs w:val="32"/>
          <w:lang w:val="en-US" w:eastAsia="zh-CN"/>
        </w:rPr>
        <w:t>租用等方式科学配置相应容量的高温、低温、急冻类型冷库设施。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2、有条件的可配套配送车10台以上，争取社会共建。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3、逐步推行使用标准化的货物分类、物品标识、物流装备设施、工具器具、作业流程、物流计量、信息系统等，使用农村物流运输的托盘、集装篮、笼车等标准化运载单元和专业化包装、分拣、装卸设备。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（五）储备方式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根据储备物资种类视不同情况采取实物储备、活体储备、协议储备、动态周转相结合的储备方式。适时调整、优化储备种类、数量、运营模式。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（六）规范管理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制度管理：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采购、财务、调运、安全、卫生等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相关管理制度。规范协调调度程序，优化信息流程、业务流程和管理流程，推进应急生产、流通、储备、运输环节的信息化建设和应急信息交换、数据共享。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：配备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质检、防疫、消防等安全防护设施设备，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质量检测、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卫生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防疫、消防安全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措施。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rPr>
          <w:rFonts w:hint="default" w:ascii="楷体" w:hAnsi="楷体" w:eastAsia="楷体" w:cs="楷体"/>
          <w:b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3、运营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管理：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县级供销社负责指导监督管理储备中心经营主体规范运行。应急物资使用实行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统一调度、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动态管理。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市级供销社加强对县级应急物资储备中心体系建设的指导、监督、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（七）支持政策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省供销社负责争取省委省政府补贴、周转金贴息及抗疫费用补贴、纳入重点保供企业名录等支持政策。各级供销社也要主动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对接落实落地国家、省里出台的相关优惠政策，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积极争取当地党委、政府出台相应的配套支持政策和社会各界支持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  <w:t>五、经营配送方式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各地供销社在抗疫隔离期间，可采取</w:t>
      </w:r>
      <w:r>
        <w:rPr>
          <w:rFonts w:hint="eastAsia" w:ascii="黑体" w:hAnsi="黑体" w:eastAsia="黑体" w:cs="黑体"/>
          <w:b/>
          <w:bCs/>
          <w:sz w:val="32"/>
          <w:lang w:val="en-US" w:eastAsia="zh-CN"/>
        </w:rPr>
        <w:t>“两直、双线、无接触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模式。即：直接切入、直插到底，线上下单、线下配送，服务上门、无接触交货，努力打通城乡配送“最后一米”。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（一）入驻官方平台。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推出当地储备中心+专业合作社+电商服务APP，进驻政府或官方传媒服务平台或官方微信公众号，让供销社社区保供突击队与社区服务平台无缝对接。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（二）自建对接平台。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可利用供销e家、“供销集市”平台，增加功能模块，将各地自建的“供销社农超对接供求平台”集成，达到信息共享、资源互补。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0"/>
          <w:sz w:val="32"/>
          <w:szCs w:val="32"/>
          <w:lang w:val="en-US" w:eastAsia="zh-CN"/>
        </w:rPr>
        <w:t>（三)龙头企业配送。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龙头商超企业开展移动“菜篮子”工程，线上接单，统一调度，采用“县级应急物资储备中心--乡镇商超--村组（社区）”配送模式，保障农村生活物资供应。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（一）把中心建设作为“一面镜子”。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同时间赛跑、与病魔较量。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党中央、国务院印发中发11号文件五年来，各市州县供销社综合改革的质量和成败如何，能不能体现供销机构贡献、供销责任担当、供销治理能力，这次是一面镜子；关键时刻，切实扛起保供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国家队、主渠道、主力军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责任。各级供销社是否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抓得住、用得上、信得过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是不是党和政府做好“三农”工作的重要载体和综合平台，这次是一次大考。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（二）坚持“三不”工作状态。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不等、不靠、不讲条件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“宁可建而不用，不可用而无供”，先动手，不观望，无问西东，不计成本，不掉链子，主动出战，积极服务农村生产、生活物资保供稳价。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（三）破解“两个关键”。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“融资”：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做好项目建设、升级改造规划，争取纳入发改委、商务部门等部门项目库，争取项目资金、政府债券、商业银行等优惠贷款支持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“配送”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。通过整合系统网络资源、与专业物流企业对接等方式，完善配送体系。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（四）落实战时机制。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供销干部职工化危为机，枕戈待旦，投入战时行动、战时节奏。各级供销社党组要认真落实省委、省政府统一部署，坚持战时工作法，调动系统一切资源力量，致力打赢供销系统防疫“阻击战”和物资后勤“保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战”。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531" w:bottom="1531" w:left="1531" w:header="851" w:footer="992" w:gutter="0"/>
      <w:paperSrc/>
      <w:pgNumType w:fmt="numberInDash"/>
      <w:cols w:space="720" w:num="1"/>
      <w:rtlGutter w:val="0"/>
      <w:docGrid w:type="linesAndChars" w:linePitch="312" w:charSpace="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΢ȭх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S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FangSong-Z02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挀甀洀攀渀">
    <w:altName w:val="宋体"/>
    <w:panose1 w:val="00000000000000000000"/>
    <w:charset w:val="86"/>
    <w:family w:val="auto"/>
    <w:pitch w:val="default"/>
    <w:sig w:usb0="00000000" w:usb1="00000000" w:usb2="42000010" w:usb3="43000001" w:csb0="5C003A00" w:csb1="6F004400"/>
  </w:font>
  <w:font w:name="·ÂËÎ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6977_4f53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FZY3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彩虹粗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5"/>
        <w:rFonts w:ascii="仿宋_GB2312"/>
        <w:sz w:val="24"/>
        <w:szCs w:val="24"/>
      </w:rPr>
    </w:pPr>
    <w:r>
      <w:rPr>
        <w:rFonts w:hint="eastAsia" w:ascii="仿宋_GB2312"/>
        <w:sz w:val="24"/>
        <w:szCs w:val="24"/>
      </w:rPr>
      <w:fldChar w:fldCharType="begin"/>
    </w:r>
    <w:r>
      <w:rPr>
        <w:rStyle w:val="15"/>
        <w:rFonts w:hint="eastAsia" w:ascii="仿宋_GB2312"/>
        <w:sz w:val="24"/>
        <w:szCs w:val="24"/>
      </w:rPr>
      <w:instrText xml:space="preserve">PAGE  </w:instrText>
    </w:r>
    <w:r>
      <w:rPr>
        <w:rFonts w:hint="eastAsia" w:ascii="仿宋_GB2312"/>
        <w:sz w:val="24"/>
        <w:szCs w:val="24"/>
      </w:rPr>
      <w:fldChar w:fldCharType="separate"/>
    </w:r>
    <w:r>
      <w:rPr>
        <w:rStyle w:val="15"/>
        <w:rFonts w:ascii="仿宋_GB2312"/>
        <w:sz w:val="24"/>
        <w:szCs w:val="24"/>
      </w:rPr>
      <w:t>- 2 -</w:t>
    </w:r>
    <w:r>
      <w:rPr>
        <w:rFonts w:hint="eastAsia" w:ascii="仿宋_GB2312"/>
        <w:sz w:val="24"/>
        <w:szCs w:val="24"/>
      </w:rPr>
      <w:fldChar w:fldCharType="end"/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1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pStyle w:val="21"/>
      <w:lvlText w:val="图%1. "/>
      <w:lvlJc w:val="left"/>
      <w:pPr>
        <w:tabs>
          <w:tab w:val="left" w:pos="777"/>
        </w:tabs>
        <w:ind w:left="777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2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4C18AF"/>
    <w:rsid w:val="149A09ED"/>
    <w:rsid w:val="1A240B48"/>
    <w:rsid w:val="20E12C6F"/>
    <w:rsid w:val="29923DC3"/>
    <w:rsid w:val="34A13484"/>
    <w:rsid w:val="37036BFC"/>
    <w:rsid w:val="39784659"/>
    <w:rsid w:val="3CD50733"/>
    <w:rsid w:val="46197D17"/>
    <w:rsid w:val="46DC6025"/>
    <w:rsid w:val="52CD21A8"/>
    <w:rsid w:val="56AB3B85"/>
    <w:rsid w:val="66157D28"/>
    <w:rsid w:val="72C80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uiPriority w:val="0"/>
    <w:pPr>
      <w:keepNext/>
      <w:spacing w:before="240" w:beforeLines="0" w:after="60" w:afterLines="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uiPriority w:val="0"/>
  </w:style>
  <w:style w:type="table" w:default="1" w:styleId="17">
    <w:name w:val="Normal Table"/>
    <w:semiHidden/>
    <w:qFormat/>
    <w:uiPriority w:val="0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uiPriority w:val="0"/>
    <w:pPr>
      <w:ind w:firstLine="200" w:firstLineChars="200"/>
    </w:pPr>
    <w:rPr>
      <w:rFonts w:ascii="仿宋_GB2312" w:eastAsia="仿宋_GB2312"/>
      <w:sz w:val="32"/>
      <w:szCs w:val="32"/>
    </w:rPr>
  </w:style>
  <w:style w:type="paragraph" w:styleId="3">
    <w:name w:val="Body Text First Indent"/>
    <w:basedOn w:val="4"/>
    <w:uiPriority w:val="0"/>
    <w:pPr>
      <w:ind w:firstLine="420"/>
    </w:pPr>
    <w:rPr>
      <w:rFonts w:eastAsia="黑体"/>
      <w:sz w:val="28"/>
    </w:r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7">
    <w:name w:val="Body Text Indent"/>
    <w:basedOn w:val="1"/>
    <w:uiPriority w:val="0"/>
    <w:pPr>
      <w:spacing w:line="580" w:lineRule="exact"/>
      <w:ind w:firstLine="640" w:firstLineChars="200"/>
    </w:pPr>
    <w:rPr>
      <w:rFonts w:ascii="仿宋_GB2312"/>
    </w:rPr>
  </w:style>
  <w:style w:type="paragraph" w:styleId="8">
    <w:name w:val="Plain Text"/>
    <w:basedOn w:val="1"/>
    <w:uiPriority w:val="0"/>
    <w:rPr>
      <w:rFonts w:ascii="宋体" w:hAnsi="Courier New"/>
      <w:szCs w:val="32"/>
    </w:rPr>
  </w:style>
  <w:style w:type="paragraph" w:styleId="9">
    <w:name w:val="Date"/>
    <w:basedOn w:val="1"/>
    <w:next w:val="1"/>
    <w:uiPriority w:val="0"/>
    <w:pPr>
      <w:spacing w:line="365" w:lineRule="atLeast"/>
      <w:ind w:left="100" w:leftChars="2500"/>
      <w:textAlignment w:val="bottom"/>
    </w:pPr>
    <w:rPr>
      <w:rFonts w:ascii="仿宋_GB2312" w:hAnsi="仿宋_GB2312"/>
      <w:kern w:val="0"/>
      <w:szCs w:val="20"/>
    </w:rPr>
  </w:style>
  <w:style w:type="paragraph" w:styleId="10">
    <w:name w:val="Balloon Text"/>
    <w:basedOn w:val="1"/>
    <w:link w:val="24"/>
    <w:uiPriority w:val="0"/>
    <w:rPr>
      <w:rFonts w:ascii="Times New Roman" w:hAnsi="Times New Roman"/>
      <w:kern w:val="2"/>
      <w:sz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paragraph" w:customStyle="1" w:styleId="18">
    <w:name w:val="附注－正文"/>
    <w:basedOn w:val="7"/>
    <w:uiPriority w:val="0"/>
  </w:style>
  <w:style w:type="paragraph" w:customStyle="1" w:styleId="19">
    <w:name w:val="UserStyle_0"/>
    <w:basedOn w:val="1"/>
    <w:uiPriority w:val="0"/>
    <w:pPr>
      <w:spacing w:line="413" w:lineRule="auto"/>
      <w:ind w:firstLine="400"/>
      <w:jc w:val="both"/>
      <w:textAlignment w:val="baseline"/>
    </w:pPr>
    <w:rPr>
      <w:rFonts w:ascii="宋体" w:hAnsi="宋体"/>
      <w:kern w:val="2"/>
      <w:sz w:val="30"/>
      <w:szCs w:val="30"/>
      <w:lang w:val="zh-TW" w:eastAsia="zh-TW"/>
    </w:rPr>
  </w:style>
  <w:style w:type="paragraph" w:customStyle="1" w:styleId="20">
    <w:name w:val="Normal (Web)"/>
    <w:basedOn w:val="1"/>
    <w:uiPriority w:val="0"/>
    <w:pPr>
      <w:spacing w:before="100" w:beforeLines="0" w:beforeAutospacing="1" w:after="100" w:afterLines="0" w:afterAutospacing="1"/>
    </w:pPr>
    <w:rPr>
      <w:rFonts w:ascii="宋体" w:hAnsi="宋体" w:cs="宋体"/>
    </w:rPr>
  </w:style>
  <w:style w:type="paragraph" w:customStyle="1" w:styleId="21">
    <w:name w:val="Char"/>
    <w:basedOn w:val="1"/>
    <w:next w:val="1"/>
    <w:uiPriority w:val="0"/>
    <w:pPr>
      <w:numPr>
        <w:ilvl w:val="0"/>
        <w:numId w:val="1"/>
      </w:numPr>
      <w:spacing w:before="156" w:beforeLines="50" w:after="312" w:afterLines="100" w:line="360" w:lineRule="auto"/>
      <w:ind w:left="1105" w:hanging="748"/>
      <w:jc w:val="center"/>
    </w:pPr>
    <w:rPr>
      <w:rFonts w:eastAsia="宋体"/>
      <w:kern w:val="0"/>
      <w:sz w:val="24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23">
    <w:name w:val="List Paragraph"/>
    <w:basedOn w:val="1"/>
    <w:uiPriority w:val="0"/>
    <w:pPr>
      <w:ind w:firstLine="420" w:firstLineChars="200"/>
    </w:pPr>
  </w:style>
  <w:style w:type="character" w:customStyle="1" w:styleId="24">
    <w:name w:val="批注框文本 Char"/>
    <w:link w:val="10"/>
    <w:uiPriority w:val="0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ScaleCrop>false</ScaleCrop>
  <LinksUpToDate>false</LinksUpToDate>
  <CharactersWithSpaces>452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2018-08-06T08:18:00Z</dcterms:created>
  <dc:creator>Administrator</dc:creator>
  <cp:lastModifiedBy>Administrator</cp:lastModifiedBy>
  <cp:lastPrinted>2020-10-27T11:00:02Z</cp:lastPrinted>
  <dcterms:modified xsi:type="dcterms:W3CDTF">2020-10-27T11:18:08Z</dcterms:modified>
  <dc:title>中共湖北省委省直机关工作委员会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